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2" w:type="dxa"/>
        <w:tblLook w:val="00A0" w:firstRow="1" w:lastRow="0" w:firstColumn="1" w:lastColumn="0" w:noHBand="0" w:noVBand="0"/>
      </w:tblPr>
      <w:tblGrid>
        <w:gridCol w:w="1149"/>
        <w:gridCol w:w="2013"/>
        <w:gridCol w:w="1756"/>
        <w:gridCol w:w="1025"/>
        <w:gridCol w:w="1150"/>
        <w:gridCol w:w="2629"/>
      </w:tblGrid>
      <w:tr w:rsidR="00D32578" w:rsidRPr="00C91BA3" w:rsidTr="00C91BA3">
        <w:tc>
          <w:tcPr>
            <w:tcW w:w="9722" w:type="dxa"/>
            <w:gridSpan w:val="6"/>
          </w:tcPr>
          <w:p w:rsidR="00D32578" w:rsidRDefault="003733E2">
            <w:pPr>
              <w:pStyle w:val="a5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-579755</wp:posOffset>
                  </wp:positionV>
                  <wp:extent cx="666115" cy="824230"/>
                  <wp:effectExtent l="19050" t="0" r="635" b="0"/>
                  <wp:wrapTopAndBottom/>
                  <wp:docPr id="2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2578" w:rsidRPr="00C91BA3">
              <w:rPr>
                <w:sz w:val="33"/>
                <w:lang w:eastAsia="en-US"/>
              </w:rPr>
              <w:t>АДМИНИСТРАЦИЯ ГОРОДА КУЗНЕЦКА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  <w:jc w:val="center"/>
            </w:pPr>
            <w:r w:rsidRPr="00C91BA3">
              <w:rPr>
                <w:rFonts w:ascii="Times New Roman" w:hAnsi="Times New Roman"/>
                <w:b/>
                <w:spacing w:val="20"/>
                <w:sz w:val="33"/>
                <w:szCs w:val="20"/>
                <w:lang w:eastAsia="ru-RU"/>
              </w:rPr>
              <w:t>ПЕНЗЕНСКОЙ ОБЛАСТИ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D32578" w:rsidRPr="00C91BA3" w:rsidTr="00C91BA3">
        <w:trPr>
          <w:trHeight w:val="521"/>
        </w:trPr>
        <w:tc>
          <w:tcPr>
            <w:tcW w:w="120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2024" w:type="dxa"/>
            <w:vAlign w:val="bottom"/>
          </w:tcPr>
          <w:p w:rsidR="00D32578" w:rsidRPr="00C91BA3" w:rsidRDefault="00F42873" w:rsidP="00F4287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="00D32578" w:rsidRPr="00C91BA3">
              <w:rPr>
                <w:rFonts w:ascii="Times New Roman" w:hAnsi="Times New Roman"/>
                <w:spacing w:val="20"/>
                <w:sz w:val="24"/>
                <w:szCs w:val="24"/>
              </w:rPr>
              <w:t>т</w:t>
            </w:r>
            <w:r w:rsidR="00362ED8">
              <w:rPr>
                <w:rFonts w:ascii="Times New Roman" w:hAnsi="Times New Roman"/>
                <w:spacing w:val="20"/>
                <w:sz w:val="24"/>
                <w:szCs w:val="24"/>
              </w:rPr>
              <w:t>15.10.20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362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3" w:type="dxa"/>
            <w:vAlign w:val="bottom"/>
          </w:tcPr>
          <w:p w:rsidR="00D32578" w:rsidRPr="00C91BA3" w:rsidRDefault="00D32578" w:rsidP="00362ED8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>№</w:t>
            </w:r>
            <w:r w:rsidR="00F42873">
              <w:rPr>
                <w:rFonts w:ascii="Times New Roman" w:hAnsi="Times New Roman"/>
                <w:spacing w:val="20"/>
                <w:sz w:val="24"/>
                <w:szCs w:val="24"/>
              </w:rPr>
              <w:t>1462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bottom"/>
          </w:tcPr>
          <w:p w:rsidR="00D32578" w:rsidRPr="00C91BA3" w:rsidRDefault="00D32578" w:rsidP="00F42873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328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z w:val="24"/>
                <w:szCs w:val="24"/>
              </w:rPr>
              <w:t>г. Кузнецк</w:t>
            </w: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  <w:r>
              <w:t>О внесении изменений в постановление администрации города Кузнецка от 21.01.2015 № 75 «О закупках товаров, работ, услуг для муниципальных нужд города Кузнецка»</w:t>
            </w:r>
          </w:p>
          <w:p w:rsidR="00D32578" w:rsidRPr="00444783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</w:p>
        </w:tc>
      </w:tr>
    </w:tbl>
    <w:p w:rsidR="00D32578" w:rsidRPr="006C29EE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Pr="006C29EE">
        <w:rPr>
          <w:rFonts w:ascii="Times New Roman" w:hAnsi="Times New Roman"/>
          <w:sz w:val="28"/>
          <w:szCs w:val="28"/>
        </w:rPr>
        <w:t>кадровыми изменениями, руководствуясь ст. 28 Устава города Кузнецка Пензенской области,</w:t>
      </w:r>
    </w:p>
    <w:p w:rsidR="00D32578" w:rsidRPr="006C29EE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ПОСТАНОВЛЯЕТ:</w:t>
      </w:r>
    </w:p>
    <w:p w:rsidR="00D32578" w:rsidRPr="006C29EE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города Кузнецка от 21.01.2015 № 75 «О закупках товаров, работ, услуг для муниципальных нужд города Кузнецка» (далее – Постановление):</w:t>
      </w:r>
    </w:p>
    <w:p w:rsidR="00D32578" w:rsidRPr="006C29EE" w:rsidRDefault="00D32578" w:rsidP="00291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1.</w:t>
      </w:r>
      <w:r w:rsidR="0029171A" w:rsidRPr="006C29EE">
        <w:rPr>
          <w:rFonts w:ascii="Times New Roman" w:hAnsi="Times New Roman"/>
          <w:sz w:val="28"/>
          <w:szCs w:val="28"/>
        </w:rPr>
        <w:t>1</w:t>
      </w:r>
      <w:r w:rsidRPr="006C29EE">
        <w:rPr>
          <w:rFonts w:ascii="Times New Roman" w:hAnsi="Times New Roman"/>
          <w:sz w:val="28"/>
          <w:szCs w:val="28"/>
        </w:rPr>
        <w:t>. В пункте 4 Постановления слова «</w:t>
      </w:r>
      <w:r w:rsidR="00215C1A" w:rsidRPr="006C29EE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размещения заказов </w:t>
      </w:r>
      <w:r w:rsidR="00215C1A" w:rsidRPr="006C29EE">
        <w:rPr>
          <w:rFonts w:ascii="Times New Roman" w:hAnsi="Times New Roman"/>
          <w:sz w:val="28"/>
          <w:szCs w:val="28"/>
          <w:lang w:val="en-US"/>
        </w:rPr>
        <w:t>http</w:t>
      </w:r>
      <w:r w:rsidR="00215C1A" w:rsidRPr="006C29EE">
        <w:rPr>
          <w:rFonts w:ascii="Times New Roman" w:hAnsi="Times New Roman"/>
          <w:sz w:val="28"/>
          <w:szCs w:val="28"/>
        </w:rPr>
        <w:t>:\\</w:t>
      </w:r>
      <w:r w:rsidR="00215C1A" w:rsidRPr="006C29EE">
        <w:rPr>
          <w:rFonts w:ascii="Times New Roman" w:hAnsi="Times New Roman"/>
          <w:sz w:val="28"/>
          <w:szCs w:val="28"/>
          <w:lang w:val="en-US"/>
        </w:rPr>
        <w:t>zakupki</w:t>
      </w:r>
      <w:r w:rsidR="00215C1A" w:rsidRPr="006C29EE">
        <w:rPr>
          <w:rFonts w:ascii="Times New Roman" w:hAnsi="Times New Roman"/>
          <w:sz w:val="28"/>
          <w:szCs w:val="28"/>
        </w:rPr>
        <w:t>.</w:t>
      </w:r>
      <w:r w:rsidR="00215C1A" w:rsidRPr="006C29EE">
        <w:rPr>
          <w:rFonts w:ascii="Times New Roman" w:hAnsi="Times New Roman"/>
          <w:sz w:val="28"/>
          <w:szCs w:val="28"/>
          <w:lang w:val="en-US"/>
        </w:rPr>
        <w:t>gov</w:t>
      </w:r>
      <w:r w:rsidR="00215C1A" w:rsidRPr="006C29EE">
        <w:rPr>
          <w:rFonts w:ascii="Times New Roman" w:hAnsi="Times New Roman"/>
          <w:sz w:val="28"/>
          <w:szCs w:val="28"/>
        </w:rPr>
        <w:t>.</w:t>
      </w:r>
      <w:r w:rsidR="00215C1A" w:rsidRPr="006C29EE">
        <w:rPr>
          <w:rFonts w:ascii="Times New Roman" w:hAnsi="Times New Roman"/>
          <w:sz w:val="28"/>
          <w:szCs w:val="28"/>
          <w:lang w:val="en-US"/>
        </w:rPr>
        <w:t>ru</w:t>
      </w:r>
      <w:r w:rsidRPr="006C29EE">
        <w:rPr>
          <w:rFonts w:ascii="Times New Roman" w:hAnsi="Times New Roman"/>
          <w:sz w:val="28"/>
          <w:szCs w:val="28"/>
        </w:rPr>
        <w:t>»  заменить словами «</w:t>
      </w:r>
      <w:r w:rsidR="0029171A" w:rsidRPr="006C29EE">
        <w:rPr>
          <w:rFonts w:ascii="Times New Roman" w:hAnsi="Times New Roman"/>
          <w:sz w:val="28"/>
          <w:szCs w:val="28"/>
        </w:rPr>
        <w:t xml:space="preserve">в </w:t>
      </w:r>
      <w:r w:rsidR="0029171A" w:rsidRPr="006C29EE">
        <w:rPr>
          <w:rFonts w:ascii="Times New Roman" w:hAnsi="Times New Roman"/>
          <w:sz w:val="28"/>
          <w:szCs w:val="28"/>
          <w:lang w:eastAsia="ru-RU"/>
        </w:rPr>
        <w:t>единой информационной системе в сфере закупок</w:t>
      </w:r>
      <w:r w:rsidRPr="006C29EE">
        <w:rPr>
          <w:rFonts w:ascii="Times New Roman" w:hAnsi="Times New Roman"/>
          <w:sz w:val="28"/>
          <w:szCs w:val="28"/>
        </w:rPr>
        <w:t>»;</w:t>
      </w:r>
    </w:p>
    <w:p w:rsidR="0035217C" w:rsidRPr="006C29EE" w:rsidRDefault="0035217C" w:rsidP="0035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1.2. В пункте 5 Постановления слова «процедур  рассмотрения конкурсных заявок, заявок на участие в электронных аукционах, запросов котировок и итогов проведения конкурсов, электронных аукционов, запросов котировок»  заменить словами «процедур  рассмотрения заявок на участие в конкурентных способах определения поставщиков (подрядчиков, исполнителей), подведения итогов конкурентных способов определения поставщиков (подрядчиков, исполнителей)»;</w:t>
      </w:r>
    </w:p>
    <w:p w:rsidR="0035217C" w:rsidRPr="006C29EE" w:rsidRDefault="00E22B32" w:rsidP="00A4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1.3. В пункте 6 Постановления слова «на официальном сайте Российской Федерации для размещения информации размещения заказов </w:t>
      </w:r>
      <w:r w:rsidRPr="006C29EE">
        <w:rPr>
          <w:rFonts w:ascii="Times New Roman" w:hAnsi="Times New Roman"/>
          <w:sz w:val="28"/>
          <w:szCs w:val="28"/>
          <w:lang w:val="en-US"/>
        </w:rPr>
        <w:t>http</w:t>
      </w:r>
      <w:r w:rsidRPr="006C29EE">
        <w:rPr>
          <w:rFonts w:ascii="Times New Roman" w:hAnsi="Times New Roman"/>
          <w:sz w:val="28"/>
          <w:szCs w:val="28"/>
        </w:rPr>
        <w:t>:\\</w:t>
      </w:r>
      <w:r w:rsidRPr="006C29EE">
        <w:rPr>
          <w:rFonts w:ascii="Times New Roman" w:hAnsi="Times New Roman"/>
          <w:sz w:val="28"/>
          <w:szCs w:val="28"/>
          <w:lang w:val="en-US"/>
        </w:rPr>
        <w:t>zakupki</w:t>
      </w:r>
      <w:r w:rsidRPr="006C29EE">
        <w:rPr>
          <w:rFonts w:ascii="Times New Roman" w:hAnsi="Times New Roman"/>
          <w:sz w:val="28"/>
          <w:szCs w:val="28"/>
        </w:rPr>
        <w:t>.</w:t>
      </w:r>
      <w:r w:rsidRPr="006C29EE">
        <w:rPr>
          <w:rFonts w:ascii="Times New Roman" w:hAnsi="Times New Roman"/>
          <w:sz w:val="28"/>
          <w:szCs w:val="28"/>
          <w:lang w:val="en-US"/>
        </w:rPr>
        <w:t>gov</w:t>
      </w:r>
      <w:r w:rsidRPr="006C29EE">
        <w:rPr>
          <w:rFonts w:ascii="Times New Roman" w:hAnsi="Times New Roman"/>
          <w:sz w:val="28"/>
          <w:szCs w:val="28"/>
        </w:rPr>
        <w:t>.</w:t>
      </w:r>
      <w:r w:rsidRPr="006C29EE">
        <w:rPr>
          <w:rFonts w:ascii="Times New Roman" w:hAnsi="Times New Roman"/>
          <w:sz w:val="28"/>
          <w:szCs w:val="28"/>
          <w:lang w:val="en-US"/>
        </w:rPr>
        <w:t>ru</w:t>
      </w:r>
      <w:r w:rsidRPr="006C29EE">
        <w:rPr>
          <w:rFonts w:ascii="Times New Roman" w:hAnsi="Times New Roman"/>
          <w:sz w:val="28"/>
          <w:szCs w:val="28"/>
        </w:rPr>
        <w:t xml:space="preserve">»  заменить словами «в </w:t>
      </w:r>
      <w:r w:rsidRPr="006C29EE">
        <w:rPr>
          <w:rFonts w:ascii="Times New Roman" w:hAnsi="Times New Roman"/>
          <w:sz w:val="28"/>
          <w:szCs w:val="28"/>
          <w:lang w:eastAsia="ru-RU"/>
        </w:rPr>
        <w:t>единой информационной системе в сфере закупок</w:t>
      </w:r>
      <w:r w:rsidRPr="006C29EE">
        <w:rPr>
          <w:rFonts w:ascii="Times New Roman" w:hAnsi="Times New Roman"/>
          <w:sz w:val="28"/>
          <w:szCs w:val="28"/>
        </w:rPr>
        <w:t>»;</w:t>
      </w:r>
    </w:p>
    <w:p w:rsidR="00D32578" w:rsidRPr="006C29EE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1.</w:t>
      </w:r>
      <w:r w:rsidR="00A4570E" w:rsidRPr="006C29EE">
        <w:rPr>
          <w:rFonts w:ascii="Times New Roman" w:hAnsi="Times New Roman"/>
          <w:sz w:val="28"/>
          <w:szCs w:val="28"/>
        </w:rPr>
        <w:t>4</w:t>
      </w:r>
      <w:r w:rsidRPr="006C29EE">
        <w:rPr>
          <w:rFonts w:ascii="Times New Roman" w:hAnsi="Times New Roman"/>
          <w:sz w:val="28"/>
          <w:szCs w:val="28"/>
        </w:rPr>
        <w:t xml:space="preserve">. Приложение № </w:t>
      </w:r>
      <w:r w:rsidR="00675657" w:rsidRPr="006C29EE">
        <w:rPr>
          <w:rFonts w:ascii="Times New Roman" w:hAnsi="Times New Roman"/>
          <w:sz w:val="28"/>
          <w:szCs w:val="28"/>
        </w:rPr>
        <w:t>2</w:t>
      </w:r>
      <w:r w:rsidRPr="006C29EE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«РЕГЛАМЕНТ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работы единой комиссии по размещению закупок товаров, работ, услуг для муниципальных нужд города Кузнецка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1.1. Настоящ</w:t>
      </w:r>
      <w:r w:rsidR="00FE0791" w:rsidRPr="006C29EE">
        <w:rPr>
          <w:rFonts w:ascii="Times New Roman" w:hAnsi="Times New Roman"/>
          <w:sz w:val="28"/>
          <w:szCs w:val="28"/>
        </w:rPr>
        <w:t>ий</w:t>
      </w:r>
      <w:r w:rsidRPr="006C29EE">
        <w:rPr>
          <w:rFonts w:ascii="Times New Roman" w:hAnsi="Times New Roman"/>
          <w:sz w:val="28"/>
          <w:szCs w:val="28"/>
        </w:rPr>
        <w:t xml:space="preserve"> </w:t>
      </w:r>
      <w:r w:rsidR="00FE0791" w:rsidRPr="006C29EE">
        <w:rPr>
          <w:rFonts w:ascii="Times New Roman" w:hAnsi="Times New Roman"/>
          <w:sz w:val="28"/>
          <w:szCs w:val="28"/>
        </w:rPr>
        <w:t>Регламент</w:t>
      </w:r>
      <w:r w:rsidRPr="006C29EE">
        <w:rPr>
          <w:rFonts w:ascii="Times New Roman" w:hAnsi="Times New Roman"/>
          <w:sz w:val="28"/>
          <w:szCs w:val="28"/>
        </w:rPr>
        <w:t xml:space="preserve"> определяет цели создания, функции, состав и порядок деятельности </w:t>
      </w:r>
      <w:r w:rsidR="00FE0791" w:rsidRPr="006C29EE">
        <w:rPr>
          <w:rFonts w:ascii="Times New Roman" w:hAnsi="Times New Roman"/>
          <w:sz w:val="28"/>
          <w:szCs w:val="28"/>
        </w:rPr>
        <w:t xml:space="preserve">единой комиссии по размещению закупок товаров, </w:t>
      </w:r>
      <w:r w:rsidR="00FE0791" w:rsidRPr="006C29EE">
        <w:rPr>
          <w:rFonts w:ascii="Times New Roman" w:hAnsi="Times New Roman"/>
          <w:sz w:val="28"/>
          <w:szCs w:val="28"/>
        </w:rPr>
        <w:lastRenderedPageBreak/>
        <w:t>работ, услуг для муниципальных нужд города Кузнецка</w:t>
      </w:r>
      <w:r w:rsidRPr="006C29EE">
        <w:rPr>
          <w:rFonts w:ascii="Times New Roman" w:hAnsi="Times New Roman"/>
          <w:sz w:val="28"/>
          <w:szCs w:val="28"/>
        </w:rPr>
        <w:t xml:space="preserve"> (далее – Единая комиссия).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C29EE">
        <w:rPr>
          <w:rFonts w:ascii="Times New Roman" w:hAnsi="Times New Roman"/>
          <w:sz w:val="28"/>
          <w:szCs w:val="28"/>
        </w:rPr>
        <w:t xml:space="preserve">Единая комиссия в процессе своей деятельности руководствуется Бюджетным кодексом Российской Федерации,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Федеральным законом от 26.07.2006 № 135-ФЗ «О защите конкуренции», решением  </w:t>
      </w:r>
      <w:r w:rsidR="00FE0791" w:rsidRPr="006C29EE">
        <w:rPr>
          <w:rFonts w:ascii="Times New Roman" w:hAnsi="Times New Roman"/>
          <w:sz w:val="28"/>
          <w:szCs w:val="28"/>
        </w:rPr>
        <w:t>Собрания представителей города Кузнецка Пензенской области от 26.12.2013 № 138-72/5 «О закупках</w:t>
      </w:r>
      <w:proofErr w:type="gramEnd"/>
      <w:r w:rsidR="00FE0791" w:rsidRPr="006C29EE">
        <w:rPr>
          <w:rFonts w:ascii="Times New Roman" w:hAnsi="Times New Roman"/>
          <w:sz w:val="28"/>
          <w:szCs w:val="28"/>
        </w:rPr>
        <w:t xml:space="preserve"> товаров, работ</w:t>
      </w:r>
      <w:r w:rsidRPr="006C29EE">
        <w:rPr>
          <w:rFonts w:ascii="Times New Roman" w:hAnsi="Times New Roman"/>
          <w:bCs/>
          <w:sz w:val="28"/>
          <w:szCs w:val="28"/>
        </w:rPr>
        <w:t>,</w:t>
      </w:r>
      <w:r w:rsidR="00FE0791" w:rsidRPr="006C29EE">
        <w:rPr>
          <w:rFonts w:ascii="Times New Roman" w:hAnsi="Times New Roman"/>
          <w:bCs/>
          <w:sz w:val="28"/>
          <w:szCs w:val="28"/>
        </w:rPr>
        <w:t xml:space="preserve"> услуг для муниципальных нужд города Кузнецка»</w:t>
      </w:r>
      <w:r w:rsidR="00DC34BA" w:rsidRPr="006C29EE">
        <w:rPr>
          <w:rFonts w:ascii="Times New Roman" w:hAnsi="Times New Roman"/>
          <w:bCs/>
          <w:sz w:val="28"/>
          <w:szCs w:val="28"/>
        </w:rPr>
        <w:t>,</w:t>
      </w:r>
      <w:r w:rsidRPr="006C29EE">
        <w:rPr>
          <w:rFonts w:ascii="Times New Roman" w:hAnsi="Times New Roman"/>
          <w:bCs/>
          <w:sz w:val="28"/>
          <w:szCs w:val="28"/>
        </w:rPr>
        <w:t xml:space="preserve"> </w:t>
      </w:r>
      <w:r w:rsidRPr="006C29EE">
        <w:rPr>
          <w:rFonts w:ascii="Times New Roman" w:hAnsi="Times New Roman"/>
          <w:sz w:val="28"/>
          <w:szCs w:val="28"/>
        </w:rPr>
        <w:t xml:space="preserve">иными действующими нормативными правовыми актами и настоящим </w:t>
      </w:r>
      <w:r w:rsidR="00DC34BA" w:rsidRPr="006C29EE">
        <w:rPr>
          <w:rFonts w:ascii="Times New Roman" w:hAnsi="Times New Roman"/>
          <w:sz w:val="28"/>
          <w:szCs w:val="28"/>
        </w:rPr>
        <w:t>Регламентом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2.  Цели создания и принципы работы Единой комиссии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9EE">
        <w:rPr>
          <w:rFonts w:ascii="Times New Roman" w:hAnsi="Times New Roman"/>
          <w:sz w:val="28"/>
          <w:szCs w:val="28"/>
        </w:rPr>
        <w:t xml:space="preserve">2.1 Единая комиссия создается в целях определения поставщиков (подрядчиков, исполнителей) для </w:t>
      </w:r>
      <w:r w:rsidR="004115B3" w:rsidRPr="006C29EE">
        <w:rPr>
          <w:rFonts w:ascii="Times New Roman" w:hAnsi="Times New Roman"/>
          <w:sz w:val="28"/>
          <w:szCs w:val="28"/>
        </w:rPr>
        <w:t>соответствующих муниципальных заказчиков города Кузнецка</w:t>
      </w:r>
      <w:r w:rsidRPr="006C29EE">
        <w:rPr>
          <w:rFonts w:ascii="Times New Roman" w:hAnsi="Times New Roman"/>
          <w:sz w:val="28"/>
          <w:szCs w:val="28"/>
        </w:rPr>
        <w:t xml:space="preserve"> (далее - Заказчики) путем проведения открытых конкурсов,</w:t>
      </w:r>
      <w:r w:rsidR="004115B3" w:rsidRPr="006C29EE">
        <w:rPr>
          <w:rFonts w:ascii="Times New Roman" w:hAnsi="Times New Roman"/>
          <w:sz w:val="28"/>
          <w:szCs w:val="28"/>
        </w:rPr>
        <w:t xml:space="preserve"> конкурсов с ограниченным участием,</w:t>
      </w:r>
      <w:r w:rsidRPr="006C29EE">
        <w:rPr>
          <w:rFonts w:ascii="Times New Roman" w:hAnsi="Times New Roman"/>
          <w:sz w:val="28"/>
          <w:szCs w:val="28"/>
        </w:rPr>
        <w:t xml:space="preserve"> </w:t>
      </w:r>
      <w:r w:rsidR="000708A6" w:rsidRPr="006C29EE">
        <w:rPr>
          <w:rFonts w:ascii="Times New Roman" w:hAnsi="Times New Roman"/>
          <w:sz w:val="28"/>
          <w:szCs w:val="28"/>
        </w:rPr>
        <w:t xml:space="preserve">электронных </w:t>
      </w:r>
      <w:r w:rsidRPr="006C29EE">
        <w:rPr>
          <w:rFonts w:ascii="Times New Roman" w:hAnsi="Times New Roman"/>
          <w:sz w:val="28"/>
          <w:szCs w:val="28"/>
        </w:rPr>
        <w:t>аукционов, запросов котировок, запросов предложений, электронных процедур (открытых конкурсов,</w:t>
      </w:r>
      <w:r w:rsidR="00A8479C" w:rsidRPr="006C29EE">
        <w:rPr>
          <w:rFonts w:ascii="Times New Roman" w:hAnsi="Times New Roman"/>
          <w:sz w:val="28"/>
          <w:szCs w:val="28"/>
        </w:rPr>
        <w:t xml:space="preserve"> конкурсов с ограниченным участием</w:t>
      </w:r>
      <w:r w:rsidR="000708A6" w:rsidRPr="006C29EE">
        <w:rPr>
          <w:rFonts w:ascii="Times New Roman" w:hAnsi="Times New Roman"/>
          <w:sz w:val="28"/>
          <w:szCs w:val="28"/>
        </w:rPr>
        <w:t>, электронных аукционов</w:t>
      </w:r>
      <w:r w:rsidRPr="006C29EE">
        <w:rPr>
          <w:rFonts w:ascii="Times New Roman" w:hAnsi="Times New Roman"/>
          <w:sz w:val="28"/>
          <w:szCs w:val="28"/>
        </w:rPr>
        <w:t>, запросов котировок, запросов предложений).</w:t>
      </w:r>
      <w:proofErr w:type="gramEnd"/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2.2. 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В своей деятельности Единая комиссия руководствуется следующими принципами:</w:t>
      </w:r>
      <w:r w:rsidRPr="006C29EE">
        <w:rPr>
          <w:rFonts w:ascii="Times New Roman" w:hAnsi="Times New Roman"/>
          <w:sz w:val="28"/>
          <w:szCs w:val="28"/>
        </w:rPr>
        <w:t xml:space="preserve">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2.2.1. Обеспечение объективности и беспристрастности при осуществлении закупок путем проведения конкурентных способов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2.2.2. 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Публичность, гласность, открытость и прозрачность процедуры определения поставщиков (подрядчиков, исполнителей).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2.2.3. Устранение возможностей злоупотребления и коррупции при осуществлении закупок путем проведения конкурентных способов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6C29EE">
        <w:rPr>
          <w:rFonts w:ascii="Times New Roman" w:hAnsi="Times New Roman"/>
          <w:sz w:val="28"/>
          <w:szCs w:val="28"/>
        </w:rPr>
        <w:t xml:space="preserve">. 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2.2.4. Обеспечение добросовестной конкуренции, недопущение дискриминации, введения ограничений или преимуще</w:t>
      </w:r>
      <w:proofErr w:type="gramStart"/>
      <w:r w:rsidRPr="006C29EE">
        <w:rPr>
          <w:rFonts w:ascii="Times New Roman" w:hAnsi="Times New Roman"/>
          <w:sz w:val="28"/>
          <w:szCs w:val="28"/>
        </w:rPr>
        <w:t>ств дл</w:t>
      </w:r>
      <w:proofErr w:type="gramEnd"/>
      <w:r w:rsidRPr="006C29EE">
        <w:rPr>
          <w:rFonts w:ascii="Times New Roman" w:hAnsi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2.2.5.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 xml:space="preserve">3. Порядок формирования Единой комиссии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3.1. Единая Комиссия является коллегиальным органом, действующим на постоянной основе.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3.2. Состав Единой комиссии формируется преимущественно из числа должностных лиц местной администрации,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Число членов Единой комиссии должно быть не менее пяти человек.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3.3. Единая комиссия состоит из председателя, </w:t>
      </w:r>
      <w:r w:rsidR="001B42F0" w:rsidRPr="006C29EE">
        <w:rPr>
          <w:rFonts w:ascii="Times New Roman" w:hAnsi="Times New Roman"/>
          <w:sz w:val="28"/>
          <w:szCs w:val="28"/>
        </w:rPr>
        <w:t xml:space="preserve">заместителя председателя, </w:t>
      </w:r>
      <w:r w:rsidRPr="006C29EE">
        <w:rPr>
          <w:rFonts w:ascii="Times New Roman" w:hAnsi="Times New Roman"/>
          <w:sz w:val="28"/>
          <w:szCs w:val="28"/>
        </w:rPr>
        <w:t xml:space="preserve">секретаря (с правом голосования) и членов Единой комиссии. </w:t>
      </w:r>
      <w:r w:rsidRPr="006C29EE">
        <w:rPr>
          <w:rFonts w:ascii="Times New Roman" w:hAnsi="Times New Roman"/>
          <w:sz w:val="28"/>
          <w:szCs w:val="28"/>
        </w:rPr>
        <w:lastRenderedPageBreak/>
        <w:t xml:space="preserve">В случае отсутствия председателя Единой комиссии его функции исполняет </w:t>
      </w:r>
      <w:r w:rsidR="001B42F0" w:rsidRPr="006C29EE">
        <w:rPr>
          <w:rFonts w:ascii="Times New Roman" w:hAnsi="Times New Roman"/>
          <w:sz w:val="28"/>
          <w:szCs w:val="28"/>
        </w:rPr>
        <w:t xml:space="preserve">заместитель председателя. В случае </w:t>
      </w:r>
      <w:proofErr w:type="gramStart"/>
      <w:r w:rsidR="001B42F0" w:rsidRPr="006C29EE">
        <w:rPr>
          <w:rFonts w:ascii="Times New Roman" w:hAnsi="Times New Roman"/>
          <w:sz w:val="28"/>
          <w:szCs w:val="28"/>
        </w:rPr>
        <w:t>отсутствия заместителя председателя Единой комиссии его функции</w:t>
      </w:r>
      <w:proofErr w:type="gramEnd"/>
      <w:r w:rsidR="001B42F0" w:rsidRPr="006C29EE">
        <w:rPr>
          <w:rFonts w:ascii="Times New Roman" w:hAnsi="Times New Roman"/>
          <w:sz w:val="28"/>
          <w:szCs w:val="28"/>
        </w:rPr>
        <w:t xml:space="preserve"> исполняет </w:t>
      </w:r>
      <w:r w:rsidRPr="006C29EE">
        <w:rPr>
          <w:rFonts w:ascii="Times New Roman" w:hAnsi="Times New Roman"/>
          <w:sz w:val="28"/>
          <w:szCs w:val="28"/>
        </w:rPr>
        <w:t>член Единой комиссии, который избирается простым большинством голосов из числа присутствующих на заседании членов Единой комиссии</w:t>
      </w:r>
      <w:r w:rsidR="001B42F0" w:rsidRPr="006C29EE">
        <w:rPr>
          <w:rFonts w:ascii="Times New Roman" w:hAnsi="Times New Roman"/>
          <w:sz w:val="28"/>
          <w:szCs w:val="28"/>
        </w:rPr>
        <w:t>.</w:t>
      </w:r>
      <w:r w:rsidRPr="006C29EE">
        <w:rPr>
          <w:rFonts w:ascii="Times New Roman" w:hAnsi="Times New Roman"/>
          <w:sz w:val="28"/>
          <w:szCs w:val="28"/>
        </w:rPr>
        <w:t xml:space="preserve"> При отсутствии секретаря Единой комиссии его функции выполняет член Единой комиссии, уполномоченный на выполнение таких функций председателем</w:t>
      </w:r>
      <w:r w:rsidR="00B85B64" w:rsidRPr="006C29EE">
        <w:rPr>
          <w:rFonts w:ascii="Times New Roman" w:hAnsi="Times New Roman"/>
          <w:sz w:val="28"/>
          <w:szCs w:val="28"/>
        </w:rPr>
        <w:t>, при отсутствии председателя – заместителем председателя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3.4. Членами Единой комиссии не могут быть: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-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-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C29EE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6C29EE">
        <w:rPr>
          <w:rFonts w:ascii="Times New Roman" w:hAnsi="Times New Roman"/>
          <w:sz w:val="28"/>
          <w:szCs w:val="28"/>
        </w:rPr>
        <w:t xml:space="preserve"> (имеющими </w:t>
      </w:r>
      <w:proofErr w:type="gramStart"/>
      <w:r w:rsidRPr="006C29EE">
        <w:rPr>
          <w:rFonts w:ascii="Times New Roman" w:hAnsi="Times New Roman"/>
          <w:sz w:val="28"/>
          <w:szCs w:val="28"/>
        </w:rPr>
        <w:t>общих</w:t>
      </w:r>
      <w:proofErr w:type="gramEnd"/>
      <w:r w:rsidRPr="006C29EE">
        <w:rPr>
          <w:rFonts w:ascii="Times New Roman" w:hAnsi="Times New Roman"/>
          <w:sz w:val="28"/>
          <w:szCs w:val="28"/>
        </w:rPr>
        <w:t xml:space="preserve"> отца или мать) братьями и сестрами), усыновителями руководителя или усыновленными руководителем участника закупки,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- непосредственно осуществляющие контроль в сфере закупок должностные лица контрольного органа в сфере закупок.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9EE">
        <w:rPr>
          <w:rFonts w:ascii="Times New Roman" w:hAnsi="Times New Roman"/>
          <w:sz w:val="28"/>
          <w:szCs w:val="28"/>
        </w:rPr>
        <w:t>В случае выявления в составе  Единой комиссии указанных лиц глава местной администрации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3.5.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9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Единая комиссия правомочна привлекать к своей деятельности экспертов, экспертные организации в случаях, предусмотренных законодательством РФ в сфере закупок. Для целей применения настоящего </w:t>
      </w:r>
      <w:r w:rsidR="00D003D4" w:rsidRPr="006C2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Регламента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экспертами понимаются лица, обладающие специальными знаниями по предмету закупки, что должно подтверждаться соответствующими документами об образовании и (или) опыте работы эксперта.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3.6. Замена члена Единой комиссии допускается только по решению главы местной администрации, принявшего решение о создании комиссии.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4. Порядок проведения заседаний</w:t>
      </w:r>
    </w:p>
    <w:p w:rsidR="00163220" w:rsidRPr="006C29EE" w:rsidRDefault="00BC20D9" w:rsidP="00163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2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C29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4.1. </w:t>
      </w:r>
      <w:r w:rsidR="00FF1508"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редседатель Единой комиссии</w:t>
      </w:r>
      <w:r w:rsidR="00FF1508"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организует работу Единой комиссии и проводит ее заседания. В отсутствии председателя его функции исполняет заместитель председателя Единой комиссии.</w:t>
      </w:r>
    </w:p>
    <w:p w:rsidR="00BC20D9" w:rsidRPr="006C29EE" w:rsidRDefault="00BC20D9" w:rsidP="00163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29EE">
        <w:rPr>
          <w:rFonts w:ascii="Times New Roman" w:hAnsi="Times New Roman"/>
          <w:sz w:val="28"/>
          <w:szCs w:val="28"/>
        </w:rPr>
        <w:lastRenderedPageBreak/>
        <w:t xml:space="preserve">4.2. 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</w:t>
      </w:r>
    </w:p>
    <w:p w:rsidR="00BC20D9" w:rsidRPr="006C29EE" w:rsidRDefault="00BC20D9" w:rsidP="00552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29EE">
        <w:rPr>
          <w:rFonts w:ascii="Times New Roman" w:hAnsi="Times New Roman"/>
          <w:sz w:val="28"/>
          <w:szCs w:val="28"/>
        </w:rPr>
        <w:t>4.3.</w:t>
      </w:r>
      <w:r w:rsidRPr="006C29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Решения Единой комиссии принимаются простым большинством голосов от числа присутствующих на заседании членов</w:t>
      </w:r>
      <w:r w:rsidR="00552F84"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552F84" w:rsidRPr="006C29EE">
        <w:rPr>
          <w:rFonts w:ascii="Times New Roman" w:hAnsi="Times New Roman"/>
          <w:sz w:val="28"/>
          <w:szCs w:val="28"/>
        </w:rPr>
        <w:t>оформляются протоколом, который подписывается всеми присутствующими членами комиссии</w:t>
      </w:r>
      <w:r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При голосовании каждый член Единой комиссии имеет один голос. Голосование осуществляется открыто.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4.</w:t>
      </w:r>
      <w:r w:rsidR="00552F84" w:rsidRPr="006C29EE">
        <w:rPr>
          <w:rFonts w:ascii="Times New Roman" w:hAnsi="Times New Roman"/>
          <w:sz w:val="28"/>
          <w:szCs w:val="28"/>
        </w:rPr>
        <w:t>4</w:t>
      </w:r>
      <w:r w:rsidRPr="006C29EE">
        <w:rPr>
          <w:rFonts w:ascii="Times New Roman" w:hAnsi="Times New Roman"/>
          <w:sz w:val="28"/>
          <w:szCs w:val="28"/>
        </w:rPr>
        <w:t>. Решение  Единой комиссии, принятое в нарушение требований  Федерального закона № 44-ФЗ, может быть обжаловано любым участником закупки в порядке, установленном Федеральным законом № 44-ФЗ, и признано недействительным по решению органа, уполномоченного на осуществление контроля в сфере закупок (далее - контрольный орган в сфере закупок).</w:t>
      </w:r>
    </w:p>
    <w:p w:rsidR="00BC20D9" w:rsidRPr="006C29EE" w:rsidRDefault="00BC20D9" w:rsidP="00BC20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5. Функции Единой комиссии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5.1. Единая комиссия осуществляет следующие функции: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5.1.1. Вскрытие конвертов с заявками на участие в открытом конкурсе</w:t>
      </w:r>
      <w:r w:rsidR="00F54EA5" w:rsidRPr="006C29EE">
        <w:rPr>
          <w:color w:val="000000"/>
          <w:sz w:val="28"/>
          <w:szCs w:val="28"/>
        </w:rPr>
        <w:t>, в конкурсе с ограниченным участием</w:t>
      </w:r>
      <w:r w:rsidRPr="006C29EE">
        <w:rPr>
          <w:color w:val="000000"/>
          <w:sz w:val="28"/>
          <w:szCs w:val="28"/>
        </w:rPr>
        <w:t xml:space="preserve">. 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5.1.2. Рассмотрение и оценка заявок на участие в открытом конкурсе</w:t>
      </w:r>
      <w:r w:rsidR="00F54EA5" w:rsidRPr="006C29EE">
        <w:rPr>
          <w:color w:val="000000"/>
          <w:sz w:val="28"/>
          <w:szCs w:val="28"/>
        </w:rPr>
        <w:t>, в конкурсе с ограниченным участием</w:t>
      </w:r>
      <w:r w:rsidRPr="006C29EE">
        <w:rPr>
          <w:color w:val="000000"/>
          <w:sz w:val="28"/>
          <w:szCs w:val="28"/>
        </w:rPr>
        <w:t>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5.1.3. Определение победителя открытого конкурса</w:t>
      </w:r>
      <w:r w:rsidR="00F54EA5" w:rsidRPr="006C29EE">
        <w:rPr>
          <w:color w:val="000000"/>
          <w:sz w:val="28"/>
          <w:szCs w:val="28"/>
        </w:rPr>
        <w:t>, конкурса с ограниченным участием</w:t>
      </w:r>
      <w:r w:rsidRPr="006C29EE">
        <w:rPr>
          <w:color w:val="000000"/>
          <w:sz w:val="28"/>
          <w:szCs w:val="28"/>
        </w:rPr>
        <w:t>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5.1.4. Ведение протокола вскрытия конвертов с заявками на участие в открытом конкурсе</w:t>
      </w:r>
      <w:r w:rsidR="00F54EA5" w:rsidRPr="006C29EE">
        <w:rPr>
          <w:color w:val="000000"/>
          <w:sz w:val="28"/>
          <w:szCs w:val="28"/>
        </w:rPr>
        <w:t xml:space="preserve">, в конкурсе с ограниченным участием, протоколов </w:t>
      </w:r>
      <w:proofErr w:type="spellStart"/>
      <w:r w:rsidR="00F54EA5" w:rsidRPr="006C29EE">
        <w:rPr>
          <w:color w:val="000000"/>
          <w:sz w:val="28"/>
          <w:szCs w:val="28"/>
        </w:rPr>
        <w:t>предквалификационного</w:t>
      </w:r>
      <w:proofErr w:type="spellEnd"/>
      <w:r w:rsidR="00F54EA5" w:rsidRPr="006C29EE">
        <w:rPr>
          <w:color w:val="000000"/>
          <w:sz w:val="28"/>
          <w:szCs w:val="28"/>
        </w:rPr>
        <w:t xml:space="preserve"> отбора участников, подавших заявки на участие в конкурсе с ограниченным участием</w:t>
      </w:r>
      <w:r w:rsidRPr="006C29EE">
        <w:rPr>
          <w:color w:val="000000"/>
          <w:sz w:val="28"/>
          <w:szCs w:val="28"/>
        </w:rPr>
        <w:t>, протокола рассмотрения и оценки заявок на участие в открытом конкурсе</w:t>
      </w:r>
      <w:r w:rsidR="00F54EA5" w:rsidRPr="006C29EE">
        <w:rPr>
          <w:color w:val="000000"/>
          <w:sz w:val="28"/>
          <w:szCs w:val="28"/>
        </w:rPr>
        <w:t>, конкурсе с ограниченным участием</w:t>
      </w:r>
      <w:r w:rsidRPr="006C29EE">
        <w:rPr>
          <w:color w:val="000000"/>
          <w:sz w:val="28"/>
          <w:szCs w:val="28"/>
        </w:rPr>
        <w:t>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5.1.5. Рассмотрение первых и вторых частей заявок на участие в </w:t>
      </w:r>
      <w:r w:rsidR="001740F3" w:rsidRPr="006C29EE">
        <w:rPr>
          <w:color w:val="000000"/>
          <w:sz w:val="28"/>
          <w:szCs w:val="28"/>
        </w:rPr>
        <w:t xml:space="preserve">электронном </w:t>
      </w:r>
      <w:r w:rsidRPr="006C29EE">
        <w:rPr>
          <w:color w:val="000000"/>
          <w:sz w:val="28"/>
          <w:szCs w:val="28"/>
        </w:rPr>
        <w:t>аукционе.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 xml:space="preserve">5.1.6. Отбор участников </w:t>
      </w:r>
      <w:r w:rsidR="001740F3" w:rsidRPr="006C29EE">
        <w:rPr>
          <w:color w:val="000000"/>
          <w:sz w:val="28"/>
          <w:szCs w:val="28"/>
        </w:rPr>
        <w:t>электронного аукциона.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 xml:space="preserve">5.1.7. Ведение протокола рассмотрения заявок на участие в электронном аукционе и протокола подведения итогов </w:t>
      </w:r>
      <w:r w:rsidR="001740F3" w:rsidRPr="006C29EE">
        <w:rPr>
          <w:color w:val="000000"/>
          <w:sz w:val="28"/>
          <w:szCs w:val="28"/>
        </w:rPr>
        <w:t xml:space="preserve">электронного </w:t>
      </w:r>
      <w:r w:rsidRPr="006C29EE">
        <w:rPr>
          <w:color w:val="000000"/>
          <w:sz w:val="28"/>
          <w:szCs w:val="28"/>
        </w:rPr>
        <w:t>аукциона.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5.1.8. Вскрытие конвертов с заявками на участие в запросе котировок, запросе предложений.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5.1.9. Рассмотрение заявок на участие в запросе котировок, запросе предложений.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5.1.10. Определение победителя запроса котировок, запроса предложений.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5.1.11. Ведение протокола рассмотрения и оценки заявок на участие в запросе котировок.</w:t>
      </w:r>
    </w:p>
    <w:p w:rsidR="00BC20D9" w:rsidRPr="006C29EE" w:rsidRDefault="00BC20D9" w:rsidP="00BC20D9">
      <w:pPr>
        <w:pStyle w:val="aa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5.1.12. Ведение итогового протокола и протокола проведения запроса предложений.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lastRenderedPageBreak/>
        <w:t>5.1.13. Рассмотрение и оценка заявок на участие в электронных процедурах, ведение протоколов.</w:t>
      </w:r>
    </w:p>
    <w:p w:rsidR="00BC20D9" w:rsidRPr="006C29EE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9EE">
        <w:rPr>
          <w:color w:val="000000"/>
          <w:sz w:val="28"/>
          <w:szCs w:val="28"/>
        </w:rPr>
        <w:t>5.14. Проверка соответствия участников закупки установленным требованиям в соответствии с частью 8 статьи 31 Федерального закона № 44-ФЗ.</w:t>
      </w:r>
    </w:p>
    <w:p w:rsidR="00BC20D9" w:rsidRPr="006C29EE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6. Права и обязанности Единой комиссии, её членов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6.1. Единая  комиссия обязана: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6.1.1. Проверять соответствие участников закупки предъявляемым к ним требованиям, установленным Федеральным законом № 44-ФЗ, конкурсной документацией или документацией об аукционе, извещением о проведении запроса котировок цен, запроса предложений.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6.1.2. Не допускать участника закупки к участию в открытом конкурсе, </w:t>
      </w:r>
      <w:r w:rsidR="00A42676" w:rsidRPr="006C29EE">
        <w:rPr>
          <w:rFonts w:ascii="Times New Roman" w:hAnsi="Times New Roman"/>
          <w:sz w:val="28"/>
          <w:szCs w:val="28"/>
        </w:rPr>
        <w:t xml:space="preserve">конкурсе с ограниченным участием, </w:t>
      </w:r>
      <w:r w:rsidR="001740F3" w:rsidRPr="006C29EE">
        <w:rPr>
          <w:rFonts w:ascii="Times New Roman" w:hAnsi="Times New Roman"/>
          <w:sz w:val="28"/>
          <w:szCs w:val="28"/>
        </w:rPr>
        <w:t xml:space="preserve">электронном </w:t>
      </w:r>
      <w:r w:rsidRPr="006C29EE">
        <w:rPr>
          <w:rFonts w:ascii="Times New Roman" w:hAnsi="Times New Roman"/>
          <w:sz w:val="28"/>
          <w:szCs w:val="28"/>
        </w:rPr>
        <w:t>аукционе, запросе предложений в случаях, установленных Федеральным законом № 44-ФЗ, не рассматривать и отклонять котировочные заявки в случаях, установленных Федеральным законом № 44-ФЗ.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6.1.3. Исполнять предписания 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об осуществлении закупок товаров, работ, услуг.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6.1.4. Не проводить переговоры с участниками закупки, кроме случаев обмена информацией, прямо предусмотренных Федеральным законом № 44-ФЗ.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6.1.</w:t>
      </w:r>
      <w:r w:rsidR="00A42676" w:rsidRPr="006C29EE">
        <w:rPr>
          <w:rFonts w:ascii="Times New Roman" w:hAnsi="Times New Roman"/>
          <w:sz w:val="28"/>
          <w:szCs w:val="28"/>
        </w:rPr>
        <w:t>5</w:t>
      </w:r>
      <w:r w:rsidRPr="006C29EE">
        <w:rPr>
          <w:rFonts w:ascii="Times New Roman" w:hAnsi="Times New Roman"/>
          <w:sz w:val="28"/>
          <w:szCs w:val="28"/>
        </w:rPr>
        <w:t>. Подписывать итоговые протоколы по определению поставщика (исполнителя, подрядчика).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6.2. Единая комиссия вправе: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6.2.1. В случаях, предусмотренных Федеральным законом № 44-ФЗ, отстранить участника от участия в осуществлении закупки на любых этапах её проведения.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6.2.2. </w:t>
      </w:r>
      <w:proofErr w:type="gramStart"/>
      <w:r w:rsidRPr="006C29EE">
        <w:rPr>
          <w:rFonts w:ascii="Times New Roman" w:hAnsi="Times New Roman"/>
          <w:sz w:val="28"/>
          <w:szCs w:val="28"/>
        </w:rPr>
        <w:t>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</w:t>
      </w:r>
      <w:proofErr w:type="gramEnd"/>
      <w:r w:rsidRPr="006C29EE">
        <w:rPr>
          <w:rFonts w:ascii="Times New Roman" w:hAnsi="Times New Roman"/>
          <w:sz w:val="28"/>
          <w:szCs w:val="28"/>
        </w:rPr>
        <w:t xml:space="preserve">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6.2.3. Вносить предложения по вопросам осуществления закупок путем проведения конкурентных способов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6C29EE">
        <w:rPr>
          <w:rFonts w:ascii="Times New Roman" w:hAnsi="Times New Roman"/>
          <w:sz w:val="28"/>
          <w:szCs w:val="28"/>
        </w:rPr>
        <w:t>,  требующих решения со стороны Заказчика.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6.3. Члены Единой комиссии обязаны: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lastRenderedPageBreak/>
        <w:t xml:space="preserve">6.3.1. Действовать в рамках своих полномочий, установленных законодательством об осуществлении закупок товаров, работ, услуг для обеспечения муниципальных нужд и настоящим </w:t>
      </w:r>
      <w:r w:rsidR="00D003D4" w:rsidRPr="006C29EE">
        <w:rPr>
          <w:rFonts w:ascii="Times New Roman" w:hAnsi="Times New Roman"/>
          <w:sz w:val="28"/>
          <w:szCs w:val="28"/>
        </w:rPr>
        <w:t>Регламентом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6.3.2. Знать и руководствоваться в своей деятельности требованиями законодательства Российской Федерации  об осуществлении закупок товаров, работ, услуг для обеспечения муниципальных нужд и настоящего </w:t>
      </w:r>
      <w:r w:rsidR="00D003D4" w:rsidRPr="006C29EE">
        <w:rPr>
          <w:rFonts w:ascii="Times New Roman" w:hAnsi="Times New Roman"/>
          <w:sz w:val="28"/>
          <w:szCs w:val="28"/>
        </w:rPr>
        <w:t>Регламента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6.3.3. Лично присутствовать на заседаниях Единой комиссии. Отсутствие на заседаниях Единой комиссии допускается только по уважительным причинам.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6.3.4. Не допускать разглашения сведений, ставших им известными в ходе проведения процедур осуществления закупки, кроме случаев, прямо предусмотренных законодательством Российской Федерации.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6.4. Члены Единой комиссии вправе: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6.4.1. Знакомиться со всеми представленными на рассмотрение документами и сведениями, в составе заявок на участие в открытом конкурсе</w:t>
      </w:r>
      <w:r w:rsidR="00A42676" w:rsidRPr="006C29EE">
        <w:rPr>
          <w:rFonts w:ascii="Times New Roman" w:hAnsi="Times New Roman"/>
          <w:sz w:val="28"/>
          <w:szCs w:val="28"/>
        </w:rPr>
        <w:t>, конкурсе с ограниченным участием</w:t>
      </w:r>
      <w:r w:rsidRPr="006C29EE">
        <w:rPr>
          <w:rFonts w:ascii="Times New Roman" w:hAnsi="Times New Roman"/>
          <w:sz w:val="28"/>
          <w:szCs w:val="28"/>
        </w:rPr>
        <w:t xml:space="preserve">, </w:t>
      </w:r>
      <w:r w:rsidR="001740F3" w:rsidRPr="006C29EE">
        <w:rPr>
          <w:rFonts w:ascii="Times New Roman" w:hAnsi="Times New Roman"/>
          <w:sz w:val="28"/>
          <w:szCs w:val="28"/>
        </w:rPr>
        <w:t xml:space="preserve">электронном </w:t>
      </w:r>
      <w:r w:rsidRPr="006C29EE">
        <w:rPr>
          <w:rFonts w:ascii="Times New Roman" w:hAnsi="Times New Roman"/>
          <w:sz w:val="28"/>
          <w:szCs w:val="28"/>
        </w:rPr>
        <w:t>аукционе</w:t>
      </w:r>
      <w:r w:rsidR="001740F3" w:rsidRPr="006C29EE">
        <w:rPr>
          <w:rFonts w:ascii="Times New Roman" w:hAnsi="Times New Roman"/>
          <w:sz w:val="28"/>
          <w:szCs w:val="28"/>
        </w:rPr>
        <w:t xml:space="preserve">, </w:t>
      </w:r>
      <w:r w:rsidRPr="006C29EE">
        <w:rPr>
          <w:rFonts w:ascii="Times New Roman" w:hAnsi="Times New Roman"/>
          <w:sz w:val="28"/>
          <w:szCs w:val="28"/>
        </w:rPr>
        <w:t>запросе котировок, запросе предложений, электронных процедурах.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6.4.2. Выступать на заседаниях Единой комиссии.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6.4.3. Проверять правильность содержания протоколов при осуществлении закупок путем проведения </w:t>
      </w:r>
      <w:r w:rsidR="001740F3" w:rsidRPr="006C29EE">
        <w:rPr>
          <w:rFonts w:ascii="Times New Roman" w:hAnsi="Times New Roman"/>
          <w:sz w:val="28"/>
          <w:szCs w:val="28"/>
        </w:rPr>
        <w:t xml:space="preserve">открытых </w:t>
      </w:r>
      <w:r w:rsidRPr="006C29EE">
        <w:rPr>
          <w:rFonts w:ascii="Times New Roman" w:hAnsi="Times New Roman"/>
          <w:sz w:val="28"/>
          <w:szCs w:val="28"/>
        </w:rPr>
        <w:t>конкурсов</w:t>
      </w:r>
      <w:r w:rsidR="00163220" w:rsidRPr="006C29EE">
        <w:rPr>
          <w:rFonts w:ascii="Times New Roman" w:hAnsi="Times New Roman"/>
          <w:sz w:val="28"/>
          <w:szCs w:val="28"/>
        </w:rPr>
        <w:t>, конкурсов с ограниченным участием</w:t>
      </w:r>
      <w:r w:rsidRPr="006C29EE">
        <w:rPr>
          <w:rFonts w:ascii="Times New Roman" w:hAnsi="Times New Roman"/>
          <w:sz w:val="28"/>
          <w:szCs w:val="28"/>
        </w:rPr>
        <w:t xml:space="preserve">, </w:t>
      </w:r>
      <w:r w:rsidR="001740F3" w:rsidRPr="006C29EE">
        <w:rPr>
          <w:rFonts w:ascii="Times New Roman" w:hAnsi="Times New Roman"/>
          <w:sz w:val="28"/>
          <w:szCs w:val="28"/>
        </w:rPr>
        <w:t xml:space="preserve">электронных </w:t>
      </w:r>
      <w:r w:rsidRPr="006C29EE">
        <w:rPr>
          <w:rFonts w:ascii="Times New Roman" w:hAnsi="Times New Roman"/>
          <w:sz w:val="28"/>
          <w:szCs w:val="28"/>
        </w:rPr>
        <w:t>аукционов, запросов котировок, запросов предложений.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6.4.4. Письменно изложить особое мнение, которое прикладывается к протоколам</w:t>
      </w:r>
      <w:r w:rsidR="00163220" w:rsidRPr="006C29EE">
        <w:rPr>
          <w:rFonts w:ascii="Times New Roman" w:hAnsi="Times New Roman"/>
          <w:sz w:val="28"/>
          <w:szCs w:val="28"/>
        </w:rPr>
        <w:t>,</w:t>
      </w:r>
      <w:r w:rsidRPr="006C29EE">
        <w:rPr>
          <w:rFonts w:ascii="Times New Roman" w:hAnsi="Times New Roman"/>
          <w:sz w:val="28"/>
          <w:szCs w:val="28"/>
        </w:rPr>
        <w:t xml:space="preserve"> оформленным при осуществлении закупок путем проведения конкурентных способов</w:t>
      </w:r>
      <w:r w:rsidRPr="006C29E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6.5. Председатель Единой комиссии либо лицо, его замещающее: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6.5.1. Осуществляет общее руководство работой Единой комиссии и обеспечивает выполнение настоящего </w:t>
      </w:r>
      <w:r w:rsidR="00D003D4" w:rsidRPr="006C29EE">
        <w:rPr>
          <w:rFonts w:ascii="Times New Roman" w:hAnsi="Times New Roman"/>
          <w:sz w:val="28"/>
          <w:szCs w:val="28"/>
        </w:rPr>
        <w:t>Регламента</w:t>
      </w:r>
      <w:r w:rsidRPr="006C29EE">
        <w:rPr>
          <w:rFonts w:ascii="Times New Roman" w:hAnsi="Times New Roman"/>
          <w:sz w:val="28"/>
          <w:szCs w:val="28"/>
        </w:rPr>
        <w:t>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6.5.2. Объявляет заседание правомочным.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6.5.3. Открывает и ведет заседание  Единой комиссии.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6.5.4. Оглашает сведения, подлежащие объявлению на процедуре вскрытия конвертов с заявками.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6.5.5. В случае необходимости выносит на обсуждение Единой комиссии вопрос о привлечении к работе комиссии экспертов.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6.5.6. Подписывает протоколы, составленные в ходе работы Единой комиссии.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6.5.7. Осуществляет иные действия в соответствии с законодательством Российской Федерации и настоящим </w:t>
      </w:r>
      <w:r w:rsidR="00D003D4" w:rsidRPr="006C29EE">
        <w:rPr>
          <w:rFonts w:ascii="Times New Roman" w:hAnsi="Times New Roman"/>
          <w:sz w:val="28"/>
          <w:szCs w:val="28"/>
        </w:rPr>
        <w:t>Регламентом</w:t>
      </w:r>
      <w:r w:rsidRPr="006C29EE">
        <w:rPr>
          <w:rFonts w:ascii="Times New Roman" w:hAnsi="Times New Roman"/>
          <w:sz w:val="28"/>
          <w:szCs w:val="28"/>
        </w:rPr>
        <w:t>.</w:t>
      </w:r>
      <w:r w:rsidR="00163220"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63220" w:rsidRPr="006C29EE" w:rsidRDefault="00163220" w:rsidP="00163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C29EE">
        <w:rPr>
          <w:rFonts w:ascii="Times New Roman" w:hAnsi="Times New Roman"/>
          <w:sz w:val="28"/>
          <w:szCs w:val="28"/>
        </w:rPr>
        <w:t xml:space="preserve">6.6. </w:t>
      </w:r>
      <w:r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Заместитель председателя Единой комиссии исполняет функции председателя </w:t>
      </w:r>
      <w:r w:rsidRPr="006C29EE">
        <w:rPr>
          <w:rFonts w:ascii="Times New Roman" w:hAnsi="Times New Roman"/>
          <w:sz w:val="28"/>
          <w:szCs w:val="28"/>
        </w:rPr>
        <w:t>Единой комиссии</w:t>
      </w:r>
      <w:r w:rsidRPr="006C29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случае отсутствия последнего. 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</w:t>
      </w:r>
      <w:r w:rsidR="00163220" w:rsidRPr="006C29EE">
        <w:rPr>
          <w:rFonts w:ascii="Times New Roman" w:hAnsi="Times New Roman"/>
          <w:sz w:val="28"/>
          <w:szCs w:val="28"/>
        </w:rPr>
        <w:t>7</w:t>
      </w:r>
      <w:r w:rsidRPr="006C29EE">
        <w:rPr>
          <w:rFonts w:ascii="Times New Roman" w:hAnsi="Times New Roman"/>
          <w:sz w:val="28"/>
          <w:szCs w:val="28"/>
        </w:rPr>
        <w:t>. Секретарь Единой комиссии или другие уполномоченные на это председателем члены Единой комиссии: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</w:t>
      </w:r>
      <w:r w:rsidR="00163220" w:rsidRPr="006C29EE">
        <w:rPr>
          <w:rFonts w:ascii="Times New Roman" w:hAnsi="Times New Roman"/>
          <w:sz w:val="28"/>
          <w:szCs w:val="28"/>
        </w:rPr>
        <w:t>7</w:t>
      </w:r>
      <w:r w:rsidRPr="006C29EE">
        <w:rPr>
          <w:rFonts w:ascii="Times New Roman" w:hAnsi="Times New Roman"/>
          <w:sz w:val="28"/>
          <w:szCs w:val="28"/>
        </w:rPr>
        <w:t xml:space="preserve">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компетенции, в том </w:t>
      </w:r>
      <w:r w:rsidRPr="006C29EE">
        <w:rPr>
          <w:rFonts w:ascii="Times New Roman" w:hAnsi="Times New Roman"/>
          <w:sz w:val="28"/>
          <w:szCs w:val="28"/>
        </w:rPr>
        <w:lastRenderedPageBreak/>
        <w:t>числе извещают лиц, принимающих участие в работе комиссии, о времени и месте проведения заседаний и обеспечивают членов Единой комиссии необходимыми материалами;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6.</w:t>
      </w:r>
      <w:r w:rsidR="00163220" w:rsidRPr="006C29EE">
        <w:rPr>
          <w:rFonts w:ascii="Times New Roman" w:hAnsi="Times New Roman"/>
          <w:sz w:val="28"/>
          <w:szCs w:val="28"/>
        </w:rPr>
        <w:t>7</w:t>
      </w:r>
      <w:r w:rsidRPr="006C29EE">
        <w:rPr>
          <w:rFonts w:ascii="Times New Roman" w:hAnsi="Times New Roman"/>
          <w:sz w:val="28"/>
          <w:szCs w:val="28"/>
        </w:rPr>
        <w:t>.2. В ходе  заседания Единой комиссии оформляет протоколы, относящиеся к определению поставщика (подрядчика, исполнителя).</w:t>
      </w:r>
    </w:p>
    <w:p w:rsidR="00BC20D9" w:rsidRPr="006C29EE" w:rsidRDefault="00BC20D9" w:rsidP="00BC20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29EE">
        <w:rPr>
          <w:rFonts w:ascii="Times New Roman" w:hAnsi="Times New Roman"/>
          <w:b/>
          <w:sz w:val="28"/>
          <w:szCs w:val="28"/>
        </w:rPr>
        <w:t>7. Ответственность членов Единой комиссии</w:t>
      </w:r>
    </w:p>
    <w:p w:rsidR="00BC20D9" w:rsidRPr="006C29EE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 xml:space="preserve">7.1. Члены Единой комиссии, виновные в нарушении законодательства Российской Федерации о  контрактной системе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</w:t>
      </w:r>
      <w:r w:rsidR="00D003D4" w:rsidRPr="006C29EE">
        <w:rPr>
          <w:rFonts w:ascii="Times New Roman" w:hAnsi="Times New Roman"/>
          <w:sz w:val="28"/>
          <w:szCs w:val="28"/>
        </w:rPr>
        <w:t>Регламента</w:t>
      </w:r>
      <w:r w:rsidRPr="006C29EE">
        <w:rPr>
          <w:rFonts w:ascii="Times New Roman" w:hAnsi="Times New Roman"/>
          <w:sz w:val="28"/>
          <w:szCs w:val="28"/>
        </w:rPr>
        <w:t>, несут ответственность в соответствии с законодательством Российской Федерации.</w:t>
      </w:r>
      <w:r w:rsidR="00910070" w:rsidRPr="006C29EE">
        <w:rPr>
          <w:rFonts w:ascii="Times New Roman" w:hAnsi="Times New Roman"/>
          <w:sz w:val="28"/>
          <w:szCs w:val="28"/>
        </w:rPr>
        <w:t>».</w:t>
      </w:r>
    </w:p>
    <w:p w:rsidR="00D32578" w:rsidRPr="006C29EE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6C29EE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A4693B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EE">
        <w:rPr>
          <w:rFonts w:ascii="Times New Roman" w:hAnsi="Times New Roman"/>
          <w:sz w:val="28"/>
          <w:szCs w:val="28"/>
        </w:rPr>
        <w:t>Глава администрации города Кузнецка                                С.А. Златогорский</w:t>
      </w:r>
    </w:p>
    <w:sectPr w:rsidR="00D32578" w:rsidRPr="00A4693B" w:rsidSect="00A469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078"/>
    <w:multiLevelType w:val="hybridMultilevel"/>
    <w:tmpl w:val="78DC349E"/>
    <w:lvl w:ilvl="0" w:tplc="D020FEE0">
      <w:start w:val="1"/>
      <w:numFmt w:val="bullet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77532"/>
    <w:multiLevelType w:val="hybridMultilevel"/>
    <w:tmpl w:val="ADCE2A94"/>
    <w:lvl w:ilvl="0" w:tplc="8AF086A6">
      <w:start w:val="1"/>
      <w:numFmt w:val="bullet"/>
      <w:suff w:val="space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E59B6"/>
    <w:multiLevelType w:val="hybridMultilevel"/>
    <w:tmpl w:val="E4F0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77000"/>
    <w:multiLevelType w:val="multilevel"/>
    <w:tmpl w:val="F754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875DC1"/>
    <w:multiLevelType w:val="hybridMultilevel"/>
    <w:tmpl w:val="E9CA8A1A"/>
    <w:lvl w:ilvl="0" w:tplc="F3325692">
      <w:start w:val="1"/>
      <w:numFmt w:val="bullet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7C141A"/>
    <w:multiLevelType w:val="hybridMultilevel"/>
    <w:tmpl w:val="BDA62D10"/>
    <w:lvl w:ilvl="0" w:tplc="7BB2E30A">
      <w:start w:val="1"/>
      <w:numFmt w:val="bullet"/>
      <w:suff w:val="space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12EB8"/>
    <w:multiLevelType w:val="hybridMultilevel"/>
    <w:tmpl w:val="3CAAD702"/>
    <w:lvl w:ilvl="0" w:tplc="A38E2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32263"/>
    <w:rsid w:val="0002192E"/>
    <w:rsid w:val="00053AAD"/>
    <w:rsid w:val="00066BA3"/>
    <w:rsid w:val="000708A6"/>
    <w:rsid w:val="000C15D2"/>
    <w:rsid w:val="000C309A"/>
    <w:rsid w:val="000C36AE"/>
    <w:rsid w:val="000E245B"/>
    <w:rsid w:val="00105277"/>
    <w:rsid w:val="001074D3"/>
    <w:rsid w:val="0014251A"/>
    <w:rsid w:val="00144355"/>
    <w:rsid w:val="001521CE"/>
    <w:rsid w:val="00154B35"/>
    <w:rsid w:val="00163220"/>
    <w:rsid w:val="001740F3"/>
    <w:rsid w:val="001750C4"/>
    <w:rsid w:val="001B42F0"/>
    <w:rsid w:val="001D1387"/>
    <w:rsid w:val="00215C1A"/>
    <w:rsid w:val="00250B2A"/>
    <w:rsid w:val="0025796C"/>
    <w:rsid w:val="002643A3"/>
    <w:rsid w:val="00276DC2"/>
    <w:rsid w:val="0029171A"/>
    <w:rsid w:val="002B3340"/>
    <w:rsid w:val="002C1A3F"/>
    <w:rsid w:val="002E3218"/>
    <w:rsid w:val="002F05A2"/>
    <w:rsid w:val="003402EB"/>
    <w:rsid w:val="0035217C"/>
    <w:rsid w:val="00362ED8"/>
    <w:rsid w:val="003663A4"/>
    <w:rsid w:val="003733E2"/>
    <w:rsid w:val="00377D5B"/>
    <w:rsid w:val="003D2217"/>
    <w:rsid w:val="003F48EF"/>
    <w:rsid w:val="003F6743"/>
    <w:rsid w:val="00403B38"/>
    <w:rsid w:val="004115B3"/>
    <w:rsid w:val="00444783"/>
    <w:rsid w:val="00454352"/>
    <w:rsid w:val="004920B0"/>
    <w:rsid w:val="004A0F0B"/>
    <w:rsid w:val="004D60BB"/>
    <w:rsid w:val="004D7F81"/>
    <w:rsid w:val="004E0190"/>
    <w:rsid w:val="004E25CC"/>
    <w:rsid w:val="004E6A4B"/>
    <w:rsid w:val="004F3E6C"/>
    <w:rsid w:val="005376CF"/>
    <w:rsid w:val="00552F84"/>
    <w:rsid w:val="005756A8"/>
    <w:rsid w:val="005812BB"/>
    <w:rsid w:val="005861BF"/>
    <w:rsid w:val="00593B50"/>
    <w:rsid w:val="005B4BC3"/>
    <w:rsid w:val="005D02A9"/>
    <w:rsid w:val="005D04EB"/>
    <w:rsid w:val="005D33D9"/>
    <w:rsid w:val="005E6A8C"/>
    <w:rsid w:val="005F22E5"/>
    <w:rsid w:val="005F76A8"/>
    <w:rsid w:val="00603422"/>
    <w:rsid w:val="00624322"/>
    <w:rsid w:val="00637001"/>
    <w:rsid w:val="00655A3E"/>
    <w:rsid w:val="00675657"/>
    <w:rsid w:val="006B3ACD"/>
    <w:rsid w:val="006B4BF1"/>
    <w:rsid w:val="006B72A3"/>
    <w:rsid w:val="006C29EE"/>
    <w:rsid w:val="006C3841"/>
    <w:rsid w:val="006E0A64"/>
    <w:rsid w:val="006E55DF"/>
    <w:rsid w:val="00702125"/>
    <w:rsid w:val="00702F32"/>
    <w:rsid w:val="00705522"/>
    <w:rsid w:val="0072004A"/>
    <w:rsid w:val="0075435A"/>
    <w:rsid w:val="0076192D"/>
    <w:rsid w:val="00762DDE"/>
    <w:rsid w:val="00793FD5"/>
    <w:rsid w:val="007A141B"/>
    <w:rsid w:val="007A5A5D"/>
    <w:rsid w:val="007E7603"/>
    <w:rsid w:val="00854E95"/>
    <w:rsid w:val="008555E3"/>
    <w:rsid w:val="00881C19"/>
    <w:rsid w:val="00895631"/>
    <w:rsid w:val="008A547F"/>
    <w:rsid w:val="008B3C4C"/>
    <w:rsid w:val="008D64BE"/>
    <w:rsid w:val="00910070"/>
    <w:rsid w:val="009107B8"/>
    <w:rsid w:val="00915891"/>
    <w:rsid w:val="009355D0"/>
    <w:rsid w:val="00965F0E"/>
    <w:rsid w:val="00975588"/>
    <w:rsid w:val="00982608"/>
    <w:rsid w:val="00987FF9"/>
    <w:rsid w:val="00995DFA"/>
    <w:rsid w:val="009A3B3D"/>
    <w:rsid w:val="009A7091"/>
    <w:rsid w:val="009B6FE2"/>
    <w:rsid w:val="009D2611"/>
    <w:rsid w:val="009D2A70"/>
    <w:rsid w:val="009E3AA9"/>
    <w:rsid w:val="009F05D1"/>
    <w:rsid w:val="009F7AF8"/>
    <w:rsid w:val="00A06B48"/>
    <w:rsid w:val="00A14BF2"/>
    <w:rsid w:val="00A16D9C"/>
    <w:rsid w:val="00A42676"/>
    <w:rsid w:val="00A43E0A"/>
    <w:rsid w:val="00A44B19"/>
    <w:rsid w:val="00A4570E"/>
    <w:rsid w:val="00A4693B"/>
    <w:rsid w:val="00A8479C"/>
    <w:rsid w:val="00AB7B76"/>
    <w:rsid w:val="00AD30BF"/>
    <w:rsid w:val="00AD3B9E"/>
    <w:rsid w:val="00B0219B"/>
    <w:rsid w:val="00B03B1D"/>
    <w:rsid w:val="00B0561A"/>
    <w:rsid w:val="00B32263"/>
    <w:rsid w:val="00B81CC0"/>
    <w:rsid w:val="00B85B64"/>
    <w:rsid w:val="00BA3559"/>
    <w:rsid w:val="00BC20D9"/>
    <w:rsid w:val="00BD4031"/>
    <w:rsid w:val="00BE59BD"/>
    <w:rsid w:val="00C445F1"/>
    <w:rsid w:val="00C46AF3"/>
    <w:rsid w:val="00C62E3F"/>
    <w:rsid w:val="00C91BA3"/>
    <w:rsid w:val="00CD5F3C"/>
    <w:rsid w:val="00CE08C6"/>
    <w:rsid w:val="00CE3F64"/>
    <w:rsid w:val="00CF5711"/>
    <w:rsid w:val="00D003D4"/>
    <w:rsid w:val="00D26789"/>
    <w:rsid w:val="00D32578"/>
    <w:rsid w:val="00D56E85"/>
    <w:rsid w:val="00D7650F"/>
    <w:rsid w:val="00DA52AA"/>
    <w:rsid w:val="00DB1030"/>
    <w:rsid w:val="00DB78D7"/>
    <w:rsid w:val="00DC2E84"/>
    <w:rsid w:val="00DC34BA"/>
    <w:rsid w:val="00E0036F"/>
    <w:rsid w:val="00E05553"/>
    <w:rsid w:val="00E11B31"/>
    <w:rsid w:val="00E22B32"/>
    <w:rsid w:val="00E4184D"/>
    <w:rsid w:val="00E529CE"/>
    <w:rsid w:val="00E77F4A"/>
    <w:rsid w:val="00E80C14"/>
    <w:rsid w:val="00EC084A"/>
    <w:rsid w:val="00F10951"/>
    <w:rsid w:val="00F12E6E"/>
    <w:rsid w:val="00F15FCA"/>
    <w:rsid w:val="00F425BE"/>
    <w:rsid w:val="00F42873"/>
    <w:rsid w:val="00F463BC"/>
    <w:rsid w:val="00F54EA5"/>
    <w:rsid w:val="00FE0791"/>
    <w:rsid w:val="00FE15C7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103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DB1030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20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DB103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table" w:styleId="a7">
    <w:name w:val="Table Grid"/>
    <w:basedOn w:val="a1"/>
    <w:uiPriority w:val="99"/>
    <w:rsid w:val="00DB10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DB1030"/>
    <w:rPr>
      <w:rFonts w:cs="Times New Roman"/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4447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4783"/>
    <w:pPr>
      <w:widowControl w:val="0"/>
      <w:shd w:val="clear" w:color="auto" w:fill="FFFFFF"/>
      <w:spacing w:before="480" w:after="720" w:line="24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4783"/>
    <w:pPr>
      <w:widowControl w:val="0"/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basedOn w:val="a0"/>
    <w:uiPriority w:val="99"/>
    <w:rsid w:val="004447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478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B3ACD"/>
    <w:pPr>
      <w:ind w:left="720"/>
      <w:contextualSpacing/>
    </w:pPr>
  </w:style>
  <w:style w:type="paragraph" w:styleId="aa">
    <w:name w:val="Normal (Web)"/>
    <w:basedOn w:val="a"/>
    <w:uiPriority w:val="99"/>
    <w:rsid w:val="006B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КУЗНЕЦКА</vt:lpstr>
    </vt:vector>
  </TitlesOfParts>
  <Company>MultiDVD Team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КУЗНЕЦКА</dc:title>
  <dc:creator>Д.А. Лысанов</dc:creator>
  <cp:lastModifiedBy>User</cp:lastModifiedBy>
  <cp:revision>5</cp:revision>
  <cp:lastPrinted>2018-09-27T10:54:00Z</cp:lastPrinted>
  <dcterms:created xsi:type="dcterms:W3CDTF">2018-10-16T14:55:00Z</dcterms:created>
  <dcterms:modified xsi:type="dcterms:W3CDTF">2018-10-17T08:02:00Z</dcterms:modified>
</cp:coreProperties>
</file>